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0F" w:rsidRDefault="00757B0F"/>
    <w:p w:rsidR="00757B0F" w:rsidRDefault="00757B0F" w:rsidP="00616123">
      <w:pPr>
        <w:ind w:left="13"/>
      </w:pPr>
      <w:proofErr w:type="spellStart"/>
      <w:r>
        <w:t>Situație</w:t>
      </w:r>
      <w:proofErr w:type="spellEnd"/>
      <w:r>
        <w:t xml:space="preserve"> </w:t>
      </w:r>
      <w:proofErr w:type="spellStart"/>
      <w:r>
        <w:t>mobilitate</w:t>
      </w:r>
      <w:proofErr w:type="spellEnd"/>
      <w:r>
        <w:t xml:space="preserve"> Erasmus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Departamentului</w:t>
      </w:r>
      <w:proofErr w:type="spellEnd"/>
      <w:r>
        <w:t xml:space="preserve"> </w:t>
      </w:r>
      <w:r w:rsidR="00F11FFF">
        <w:t xml:space="preserve">de </w:t>
      </w:r>
      <w:proofErr w:type="spellStart"/>
      <w:r w:rsidR="00F11FFF">
        <w:t>Limbă</w:t>
      </w:r>
      <w:proofErr w:type="spellEnd"/>
      <w:r w:rsidR="00F11FFF">
        <w:t xml:space="preserve"> </w:t>
      </w:r>
      <w:proofErr w:type="spellStart"/>
      <w:r w:rsidR="00F11FFF">
        <w:t>și</w:t>
      </w:r>
      <w:proofErr w:type="spellEnd"/>
      <w:r w:rsidR="00F11FFF">
        <w:t xml:space="preserve"> </w:t>
      </w:r>
      <w:proofErr w:type="spellStart"/>
      <w:r w:rsidR="00F11FFF">
        <w:t>Literatură</w:t>
      </w:r>
      <w:proofErr w:type="spellEnd"/>
    </w:p>
    <w:p w:rsidR="00757B0F" w:rsidRDefault="00757B0F" w:rsidP="00757B0F">
      <w:pPr>
        <w:ind w:left="1453" w:firstLine="707"/>
        <w:jc w:val="both"/>
      </w:pPr>
      <w:r>
        <w:t>2019/2024</w:t>
      </w:r>
    </w:p>
    <w:p w:rsidR="00757B0F" w:rsidRDefault="00757B0F" w:rsidP="00757B0F">
      <w:pPr>
        <w:pStyle w:val="ListParagraph"/>
        <w:numPr>
          <w:ilvl w:val="0"/>
          <w:numId w:val="1"/>
        </w:numPr>
        <w:jc w:val="both"/>
      </w:pPr>
      <w:proofErr w:type="spellStart"/>
      <w:r w:rsidRPr="006C2CFA">
        <w:t>Limba</w:t>
      </w:r>
      <w:proofErr w:type="spellEnd"/>
      <w:r w:rsidRPr="006C2CFA">
        <w:t xml:space="preserve"> </w:t>
      </w:r>
      <w:proofErr w:type="spellStart"/>
      <w:r w:rsidRPr="006C2CFA">
        <w:t>și</w:t>
      </w:r>
      <w:proofErr w:type="spellEnd"/>
      <w:r w:rsidRPr="006C2CFA">
        <w:t xml:space="preserve"> </w:t>
      </w:r>
      <w:proofErr w:type="spellStart"/>
      <w:r w:rsidRPr="006C2CFA">
        <w:t>literatura</w:t>
      </w:r>
      <w:proofErr w:type="spellEnd"/>
      <w:r w:rsidRPr="006C2CFA">
        <w:t xml:space="preserve"> </w:t>
      </w:r>
      <w:proofErr w:type="spellStart"/>
      <w:r w:rsidRPr="006C2CFA">
        <w:t>engleză</w:t>
      </w:r>
      <w:proofErr w:type="spellEnd"/>
      <w:r>
        <w:t xml:space="preserve"> </w:t>
      </w:r>
      <w:r w:rsidRPr="006C2CFA">
        <w:t>BA</w:t>
      </w:r>
      <w:r>
        <w:t xml:space="preserve"> – </w:t>
      </w:r>
    </w:p>
    <w:tbl>
      <w:tblPr>
        <w:tblStyle w:val="TableGrid"/>
        <w:tblW w:w="5318" w:type="dxa"/>
        <w:tblInd w:w="-107" w:type="dxa"/>
        <w:tblLayout w:type="fixed"/>
        <w:tblCellMar>
          <w:top w:w="7" w:type="dxa"/>
          <w:left w:w="107" w:type="dxa"/>
          <w:right w:w="67" w:type="dxa"/>
        </w:tblCellMar>
        <w:tblLook w:val="04A0" w:firstRow="1" w:lastRow="0" w:firstColumn="1" w:lastColumn="0" w:noHBand="0" w:noVBand="1"/>
      </w:tblPr>
      <w:tblGrid>
        <w:gridCol w:w="1161"/>
        <w:gridCol w:w="754"/>
        <w:gridCol w:w="851"/>
        <w:gridCol w:w="850"/>
        <w:gridCol w:w="851"/>
        <w:gridCol w:w="851"/>
      </w:tblGrid>
      <w:tr w:rsidR="00757B0F" w:rsidTr="00DF3065">
        <w:trPr>
          <w:trHeight w:val="28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2019/</w:t>
            </w:r>
          </w:p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2020/</w:t>
            </w:r>
          </w:p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2021/</w:t>
            </w:r>
          </w:p>
          <w:p w:rsidR="00757B0F" w:rsidRDefault="00757B0F" w:rsidP="00DF3065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2022/</w:t>
            </w:r>
          </w:p>
          <w:p w:rsidR="00757B0F" w:rsidRDefault="00757B0F" w:rsidP="00DF3065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2023/</w:t>
            </w:r>
          </w:p>
          <w:p w:rsidR="00757B0F" w:rsidRDefault="00757B0F" w:rsidP="00DF3065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2024 </w:t>
            </w:r>
          </w:p>
        </w:tc>
      </w:tr>
      <w:tr w:rsidR="00757B0F" w:rsidTr="00DF3065">
        <w:trPr>
          <w:trHeight w:val="101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SMS </w:t>
            </w:r>
          </w:p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study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0" w:firstLine="0"/>
              <w:jc w:val="left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5</w:t>
            </w:r>
          </w:p>
        </w:tc>
      </w:tr>
      <w:tr w:rsidR="00757B0F" w:rsidTr="00DF3065">
        <w:trPr>
          <w:trHeight w:val="882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SMP </w:t>
            </w:r>
          </w:p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placement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13</w:t>
            </w:r>
          </w:p>
        </w:tc>
      </w:tr>
      <w:tr w:rsidR="00757B0F" w:rsidTr="00DF3065">
        <w:trPr>
          <w:trHeight w:val="837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 </w:t>
            </w:r>
          </w:p>
          <w:p w:rsidR="00757B0F" w:rsidRDefault="00757B0F" w:rsidP="00DF3065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Staff mobility for teaching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0" w:firstLine="0"/>
              <w:jc w:val="left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0" w:firstLine="0"/>
              <w:jc w:val="left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B0F" w:rsidRDefault="00757B0F" w:rsidP="00DF3065">
            <w:pPr>
              <w:ind w:left="1" w:firstLine="0"/>
              <w:jc w:val="left"/>
            </w:pPr>
            <w:r>
              <w:t>9</w:t>
            </w:r>
          </w:p>
        </w:tc>
      </w:tr>
    </w:tbl>
    <w:p w:rsidR="00757B0F" w:rsidRDefault="00757B0F"/>
    <w:p w:rsidR="00265875" w:rsidRDefault="00265875"/>
    <w:p w:rsidR="00265875" w:rsidRDefault="00265875"/>
    <w:p w:rsidR="00265875" w:rsidRDefault="00265875" w:rsidP="00265875">
      <w:pPr>
        <w:pStyle w:val="ListParagraph"/>
        <w:numPr>
          <w:ilvl w:val="0"/>
          <w:numId w:val="1"/>
        </w:numPr>
        <w:jc w:val="both"/>
      </w:pPr>
      <w:proofErr w:type="spellStart"/>
      <w:r w:rsidRPr="00C510A4">
        <w:t>Limba</w:t>
      </w:r>
      <w:proofErr w:type="spellEnd"/>
      <w:r w:rsidRPr="00C510A4">
        <w:t xml:space="preserve"> </w:t>
      </w:r>
      <w:proofErr w:type="spellStart"/>
      <w:r w:rsidRPr="00C510A4">
        <w:t>şi</w:t>
      </w:r>
      <w:proofErr w:type="spellEnd"/>
      <w:r w:rsidRPr="00C510A4">
        <w:t xml:space="preserve"> </w:t>
      </w:r>
      <w:proofErr w:type="spellStart"/>
      <w:r w:rsidRPr="00C510A4">
        <w:t>literatura</w:t>
      </w:r>
      <w:proofErr w:type="spellEnd"/>
      <w:r w:rsidRPr="00C510A4">
        <w:t xml:space="preserve"> </w:t>
      </w:r>
      <w:proofErr w:type="spellStart"/>
      <w:r w:rsidRPr="00C510A4">
        <w:t>engleză</w:t>
      </w:r>
      <w:proofErr w:type="spellEnd"/>
      <w:r w:rsidRPr="00C510A4">
        <w:t xml:space="preserve"> – </w:t>
      </w:r>
      <w:proofErr w:type="spellStart"/>
      <w:r w:rsidRPr="00C510A4">
        <w:t>Limba</w:t>
      </w:r>
      <w:proofErr w:type="spellEnd"/>
      <w:r w:rsidRPr="00C510A4">
        <w:t xml:space="preserve"> </w:t>
      </w:r>
      <w:proofErr w:type="spellStart"/>
      <w:r w:rsidRPr="00C510A4">
        <w:t>şi</w:t>
      </w:r>
      <w:proofErr w:type="spellEnd"/>
      <w:r w:rsidRPr="00C510A4">
        <w:t xml:space="preserve"> </w:t>
      </w:r>
      <w:proofErr w:type="spellStart"/>
      <w:r w:rsidRPr="00C510A4">
        <w:t>literatura</w:t>
      </w:r>
      <w:proofErr w:type="spellEnd"/>
      <w:r w:rsidRPr="00C510A4">
        <w:t xml:space="preserve"> </w:t>
      </w:r>
      <w:proofErr w:type="spellStart"/>
      <w:r w:rsidRPr="00C510A4">
        <w:t>germană</w:t>
      </w:r>
      <w:proofErr w:type="spellEnd"/>
      <w:r>
        <w:t xml:space="preserve"> </w:t>
      </w:r>
      <w:r w:rsidRPr="006C2CFA">
        <w:t>BA</w:t>
      </w:r>
      <w:r>
        <w:t xml:space="preserve"> – </w:t>
      </w:r>
    </w:p>
    <w:tbl>
      <w:tblPr>
        <w:tblStyle w:val="TableGrid"/>
        <w:tblW w:w="5318" w:type="dxa"/>
        <w:tblInd w:w="-107" w:type="dxa"/>
        <w:tblLayout w:type="fixed"/>
        <w:tblCellMar>
          <w:top w:w="7" w:type="dxa"/>
          <w:left w:w="107" w:type="dxa"/>
          <w:right w:w="67" w:type="dxa"/>
        </w:tblCellMar>
        <w:tblLook w:val="04A0" w:firstRow="1" w:lastRow="0" w:firstColumn="1" w:lastColumn="0" w:noHBand="0" w:noVBand="1"/>
      </w:tblPr>
      <w:tblGrid>
        <w:gridCol w:w="1161"/>
        <w:gridCol w:w="754"/>
        <w:gridCol w:w="851"/>
        <w:gridCol w:w="850"/>
        <w:gridCol w:w="851"/>
        <w:gridCol w:w="851"/>
      </w:tblGrid>
      <w:tr w:rsidR="00265875" w:rsidTr="00A81D3E">
        <w:trPr>
          <w:trHeight w:val="28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2019/</w:t>
            </w:r>
          </w:p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2020/</w:t>
            </w:r>
          </w:p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2021/</w:t>
            </w:r>
          </w:p>
          <w:p w:rsidR="00265875" w:rsidRDefault="00265875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2022/</w:t>
            </w:r>
          </w:p>
          <w:p w:rsidR="00265875" w:rsidRDefault="00265875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2023/</w:t>
            </w:r>
          </w:p>
          <w:p w:rsidR="00265875" w:rsidRDefault="00265875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2024 </w:t>
            </w:r>
          </w:p>
        </w:tc>
      </w:tr>
      <w:tr w:rsidR="00265875" w:rsidTr="00A81D3E">
        <w:trPr>
          <w:trHeight w:val="101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SMS </w:t>
            </w:r>
          </w:p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study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0</w:t>
            </w:r>
          </w:p>
        </w:tc>
      </w:tr>
      <w:tr w:rsidR="00265875" w:rsidTr="00A81D3E">
        <w:trPr>
          <w:trHeight w:val="882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SMP </w:t>
            </w:r>
          </w:p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placement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1</w:t>
            </w:r>
          </w:p>
        </w:tc>
      </w:tr>
      <w:tr w:rsidR="00265875" w:rsidTr="00A81D3E">
        <w:trPr>
          <w:trHeight w:val="837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 </w:t>
            </w:r>
          </w:p>
          <w:p w:rsidR="00265875" w:rsidRDefault="00265875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Staff mobility for teaching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75" w:rsidRDefault="00265875" w:rsidP="00A81D3E">
            <w:pPr>
              <w:ind w:left="1" w:firstLine="0"/>
              <w:jc w:val="left"/>
            </w:pPr>
            <w:r>
              <w:t>16</w:t>
            </w:r>
          </w:p>
        </w:tc>
      </w:tr>
    </w:tbl>
    <w:p w:rsidR="00265875" w:rsidRDefault="00265875" w:rsidP="00265875"/>
    <w:p w:rsidR="00616123" w:rsidRDefault="00616123" w:rsidP="00265875"/>
    <w:p w:rsidR="00616123" w:rsidRDefault="00616123" w:rsidP="00265875">
      <w:bookmarkStart w:id="0" w:name="_GoBack"/>
      <w:bookmarkEnd w:id="0"/>
    </w:p>
    <w:p w:rsidR="00B155AC" w:rsidRDefault="00B155AC" w:rsidP="00B155AC">
      <w:pPr>
        <w:pStyle w:val="ListParagraph"/>
        <w:numPr>
          <w:ilvl w:val="0"/>
          <w:numId w:val="1"/>
        </w:numPr>
        <w:jc w:val="both"/>
      </w:pPr>
      <w:proofErr w:type="spellStart"/>
      <w:r w:rsidRPr="00C510A4">
        <w:lastRenderedPageBreak/>
        <w:t>Limba</w:t>
      </w:r>
      <w:proofErr w:type="spellEnd"/>
      <w:r w:rsidRPr="00C510A4">
        <w:t xml:space="preserve"> </w:t>
      </w:r>
      <w:proofErr w:type="spellStart"/>
      <w:r w:rsidRPr="00C510A4">
        <w:t>şi</w:t>
      </w:r>
      <w:proofErr w:type="spellEnd"/>
      <w:r w:rsidRPr="00C510A4">
        <w:t xml:space="preserve"> </w:t>
      </w:r>
      <w:proofErr w:type="spellStart"/>
      <w:r w:rsidRPr="00C510A4">
        <w:t>literatura</w:t>
      </w:r>
      <w:proofErr w:type="spellEnd"/>
      <w:r w:rsidRPr="00C510A4">
        <w:t xml:space="preserve"> </w:t>
      </w:r>
      <w:proofErr w:type="spellStart"/>
      <w:r w:rsidRPr="00C510A4">
        <w:t>maghiară</w:t>
      </w:r>
      <w:proofErr w:type="spellEnd"/>
      <w:r w:rsidRPr="00C510A4">
        <w:t xml:space="preserve"> – </w:t>
      </w:r>
      <w:proofErr w:type="spellStart"/>
      <w:r w:rsidRPr="00C510A4">
        <w:t>Limba</w:t>
      </w:r>
      <w:proofErr w:type="spellEnd"/>
      <w:r w:rsidRPr="00C510A4">
        <w:t xml:space="preserve"> </w:t>
      </w:r>
      <w:proofErr w:type="spellStart"/>
      <w:r w:rsidRPr="00C510A4">
        <w:t>şi</w:t>
      </w:r>
      <w:proofErr w:type="spellEnd"/>
      <w:r w:rsidRPr="00C510A4">
        <w:t xml:space="preserve"> </w:t>
      </w:r>
      <w:proofErr w:type="spellStart"/>
      <w:r w:rsidRPr="00C510A4">
        <w:t>literatura</w:t>
      </w:r>
      <w:proofErr w:type="spellEnd"/>
      <w:r w:rsidRPr="00C510A4">
        <w:t xml:space="preserve"> </w:t>
      </w:r>
      <w:proofErr w:type="spellStart"/>
      <w:r w:rsidRPr="00C510A4">
        <w:t>engleză</w:t>
      </w:r>
      <w:proofErr w:type="spellEnd"/>
      <w:r>
        <w:t xml:space="preserve"> </w:t>
      </w:r>
      <w:r w:rsidRPr="006C2CFA">
        <w:t>BA</w:t>
      </w:r>
      <w:r>
        <w:t xml:space="preserve"> – </w:t>
      </w:r>
    </w:p>
    <w:tbl>
      <w:tblPr>
        <w:tblStyle w:val="TableGrid"/>
        <w:tblW w:w="5318" w:type="dxa"/>
        <w:tblInd w:w="-107" w:type="dxa"/>
        <w:tblLayout w:type="fixed"/>
        <w:tblCellMar>
          <w:top w:w="7" w:type="dxa"/>
          <w:left w:w="107" w:type="dxa"/>
          <w:right w:w="67" w:type="dxa"/>
        </w:tblCellMar>
        <w:tblLook w:val="04A0" w:firstRow="1" w:lastRow="0" w:firstColumn="1" w:lastColumn="0" w:noHBand="0" w:noVBand="1"/>
      </w:tblPr>
      <w:tblGrid>
        <w:gridCol w:w="1161"/>
        <w:gridCol w:w="754"/>
        <w:gridCol w:w="851"/>
        <w:gridCol w:w="850"/>
        <w:gridCol w:w="851"/>
        <w:gridCol w:w="851"/>
      </w:tblGrid>
      <w:tr w:rsidR="00B155AC" w:rsidTr="00A81D3E">
        <w:trPr>
          <w:trHeight w:val="28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2019/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2020/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2021/</w:t>
            </w:r>
          </w:p>
          <w:p w:rsidR="00B155AC" w:rsidRDefault="00B155AC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2022/</w:t>
            </w:r>
          </w:p>
          <w:p w:rsidR="00B155AC" w:rsidRDefault="00B155AC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2023/</w:t>
            </w:r>
          </w:p>
          <w:p w:rsidR="00B155AC" w:rsidRDefault="00B155AC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2024 </w:t>
            </w:r>
          </w:p>
        </w:tc>
      </w:tr>
      <w:tr w:rsidR="00B155AC" w:rsidTr="00A81D3E">
        <w:trPr>
          <w:trHeight w:val="101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SMS 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study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1</w:t>
            </w:r>
          </w:p>
        </w:tc>
      </w:tr>
      <w:tr w:rsidR="00B155AC" w:rsidTr="00A81D3E">
        <w:trPr>
          <w:trHeight w:val="882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SMP 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placement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22</w:t>
            </w:r>
          </w:p>
        </w:tc>
      </w:tr>
      <w:tr w:rsidR="00B155AC" w:rsidTr="00A81D3E">
        <w:trPr>
          <w:trHeight w:val="837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 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Staff mobility for teaching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11</w:t>
            </w:r>
          </w:p>
        </w:tc>
      </w:tr>
    </w:tbl>
    <w:p w:rsidR="00B155AC" w:rsidRDefault="00B155AC" w:rsidP="00B155AC"/>
    <w:p w:rsidR="00B155AC" w:rsidRDefault="00B155AC" w:rsidP="00B155AC">
      <w:pPr>
        <w:pStyle w:val="ListParagraph"/>
        <w:numPr>
          <w:ilvl w:val="0"/>
          <w:numId w:val="1"/>
        </w:numPr>
        <w:jc w:val="both"/>
      </w:pPr>
      <w:proofErr w:type="spellStart"/>
      <w:r w:rsidRPr="00F50FB4">
        <w:t>Multilingvism</w:t>
      </w:r>
      <w:proofErr w:type="spellEnd"/>
      <w:r w:rsidRPr="00F50FB4">
        <w:t xml:space="preserve"> </w:t>
      </w:r>
      <w:proofErr w:type="spellStart"/>
      <w:r w:rsidRPr="00F50FB4">
        <w:t>şi</w:t>
      </w:r>
      <w:proofErr w:type="spellEnd"/>
      <w:r w:rsidRPr="00F50FB4">
        <w:t xml:space="preserve"> </w:t>
      </w:r>
      <w:proofErr w:type="spellStart"/>
      <w:r w:rsidRPr="00F50FB4">
        <w:t>multiculturalitate</w:t>
      </w:r>
      <w:proofErr w:type="spellEnd"/>
      <w:r w:rsidRPr="00F50FB4">
        <w:t xml:space="preserve"> MA</w:t>
      </w:r>
      <w:r>
        <w:t xml:space="preserve"> – </w:t>
      </w:r>
    </w:p>
    <w:tbl>
      <w:tblPr>
        <w:tblStyle w:val="TableGrid"/>
        <w:tblW w:w="5318" w:type="dxa"/>
        <w:tblInd w:w="-107" w:type="dxa"/>
        <w:tblLayout w:type="fixed"/>
        <w:tblCellMar>
          <w:top w:w="7" w:type="dxa"/>
          <w:left w:w="107" w:type="dxa"/>
          <w:right w:w="67" w:type="dxa"/>
        </w:tblCellMar>
        <w:tblLook w:val="04A0" w:firstRow="1" w:lastRow="0" w:firstColumn="1" w:lastColumn="0" w:noHBand="0" w:noVBand="1"/>
      </w:tblPr>
      <w:tblGrid>
        <w:gridCol w:w="1161"/>
        <w:gridCol w:w="754"/>
        <w:gridCol w:w="851"/>
        <w:gridCol w:w="850"/>
        <w:gridCol w:w="851"/>
        <w:gridCol w:w="851"/>
      </w:tblGrid>
      <w:tr w:rsidR="00B155AC" w:rsidTr="00A81D3E">
        <w:trPr>
          <w:trHeight w:val="28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2019/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2020/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2021/</w:t>
            </w:r>
          </w:p>
          <w:p w:rsidR="00B155AC" w:rsidRDefault="00B155AC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2022/</w:t>
            </w:r>
          </w:p>
          <w:p w:rsidR="00B155AC" w:rsidRDefault="00B155AC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2023/</w:t>
            </w:r>
          </w:p>
          <w:p w:rsidR="00B155AC" w:rsidRDefault="00B155AC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2024 </w:t>
            </w:r>
          </w:p>
        </w:tc>
      </w:tr>
      <w:tr w:rsidR="00B155AC" w:rsidTr="00A81D3E">
        <w:trPr>
          <w:trHeight w:val="101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SMS 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study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</w:tr>
      <w:tr w:rsidR="00B155AC" w:rsidTr="00A81D3E">
        <w:trPr>
          <w:trHeight w:val="882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SMP 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placement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1</w:t>
            </w:r>
          </w:p>
        </w:tc>
      </w:tr>
      <w:tr w:rsidR="00B155AC" w:rsidTr="00A81D3E">
        <w:trPr>
          <w:trHeight w:val="837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 </w:t>
            </w:r>
          </w:p>
          <w:p w:rsidR="00B155AC" w:rsidRDefault="00B155AC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Staff mobility for teaching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5AC" w:rsidRDefault="00B155AC" w:rsidP="00A81D3E">
            <w:pPr>
              <w:ind w:left="1" w:firstLine="0"/>
              <w:jc w:val="left"/>
            </w:pPr>
            <w:r>
              <w:t>16</w:t>
            </w:r>
          </w:p>
        </w:tc>
      </w:tr>
    </w:tbl>
    <w:p w:rsidR="00B155AC" w:rsidRDefault="00B155AC" w:rsidP="00B155AC"/>
    <w:p w:rsidR="00CA14E7" w:rsidRDefault="00CA14E7" w:rsidP="00CA14E7">
      <w:pPr>
        <w:pStyle w:val="ListParagraph"/>
        <w:numPr>
          <w:ilvl w:val="0"/>
          <w:numId w:val="1"/>
        </w:numPr>
        <w:jc w:val="both"/>
      </w:pPr>
      <w:proofErr w:type="spellStart"/>
      <w:r w:rsidRPr="00F50FB4">
        <w:t>Traducere</w:t>
      </w:r>
      <w:proofErr w:type="spellEnd"/>
      <w:r w:rsidRPr="00F50FB4">
        <w:t xml:space="preserve"> </w:t>
      </w:r>
      <w:proofErr w:type="spellStart"/>
      <w:r w:rsidRPr="00F50FB4">
        <w:t>și</w:t>
      </w:r>
      <w:proofErr w:type="spellEnd"/>
      <w:r w:rsidRPr="00F50FB4">
        <w:t xml:space="preserve"> </w:t>
      </w:r>
      <w:proofErr w:type="spellStart"/>
      <w:r w:rsidRPr="00F50FB4">
        <w:t>interpretariat</w:t>
      </w:r>
      <w:proofErr w:type="spellEnd"/>
      <w:r>
        <w:t xml:space="preserve"> </w:t>
      </w:r>
      <w:r w:rsidRPr="00F50FB4">
        <w:t>MA</w:t>
      </w:r>
      <w:r>
        <w:t xml:space="preserve"> – </w:t>
      </w:r>
    </w:p>
    <w:tbl>
      <w:tblPr>
        <w:tblStyle w:val="TableGrid"/>
        <w:tblW w:w="5318" w:type="dxa"/>
        <w:tblInd w:w="-107" w:type="dxa"/>
        <w:tblLayout w:type="fixed"/>
        <w:tblCellMar>
          <w:top w:w="7" w:type="dxa"/>
          <w:left w:w="107" w:type="dxa"/>
          <w:right w:w="67" w:type="dxa"/>
        </w:tblCellMar>
        <w:tblLook w:val="04A0" w:firstRow="1" w:lastRow="0" w:firstColumn="1" w:lastColumn="0" w:noHBand="0" w:noVBand="1"/>
      </w:tblPr>
      <w:tblGrid>
        <w:gridCol w:w="1161"/>
        <w:gridCol w:w="754"/>
        <w:gridCol w:w="851"/>
        <w:gridCol w:w="850"/>
        <w:gridCol w:w="851"/>
        <w:gridCol w:w="851"/>
      </w:tblGrid>
      <w:tr w:rsidR="00CA14E7" w:rsidTr="00A81D3E">
        <w:trPr>
          <w:trHeight w:val="28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2019/</w:t>
            </w:r>
          </w:p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2020/</w:t>
            </w:r>
          </w:p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2021/</w:t>
            </w:r>
          </w:p>
          <w:p w:rsidR="00CA14E7" w:rsidRDefault="00CA14E7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2022/</w:t>
            </w:r>
          </w:p>
          <w:p w:rsidR="00CA14E7" w:rsidRDefault="00CA14E7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1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2023/</w:t>
            </w:r>
          </w:p>
          <w:p w:rsidR="00CA14E7" w:rsidRDefault="00CA14E7" w:rsidP="00A81D3E">
            <w:pPr>
              <w:ind w:left="1" w:firstLine="0"/>
              <w:jc w:val="left"/>
            </w:pPr>
            <w:r>
              <w:rPr>
                <w:b w:val="0"/>
                <w:sz w:val="24"/>
              </w:rPr>
              <w:t xml:space="preserve">2024 </w:t>
            </w:r>
          </w:p>
        </w:tc>
      </w:tr>
      <w:tr w:rsidR="00CA14E7" w:rsidTr="00A81D3E">
        <w:trPr>
          <w:trHeight w:val="1016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SMS </w:t>
            </w:r>
          </w:p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study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0</w:t>
            </w:r>
          </w:p>
        </w:tc>
      </w:tr>
      <w:tr w:rsidR="00CA14E7" w:rsidTr="00A81D3E">
        <w:trPr>
          <w:trHeight w:val="882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lastRenderedPageBreak/>
              <w:t xml:space="preserve">SMP </w:t>
            </w:r>
          </w:p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Student mobility for placement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2</w:t>
            </w:r>
          </w:p>
        </w:tc>
      </w:tr>
      <w:tr w:rsidR="00CA14E7" w:rsidTr="00A81D3E">
        <w:trPr>
          <w:trHeight w:val="837"/>
        </w:trPr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 </w:t>
            </w:r>
          </w:p>
          <w:p w:rsidR="00CA14E7" w:rsidRDefault="00CA14E7" w:rsidP="00A81D3E">
            <w:pPr>
              <w:ind w:left="0" w:firstLine="0"/>
              <w:jc w:val="left"/>
            </w:pPr>
            <w:r>
              <w:rPr>
                <w:b w:val="0"/>
                <w:sz w:val="24"/>
              </w:rPr>
              <w:t xml:space="preserve">Staff mobility for teaching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0" w:firstLine="0"/>
              <w:jc w:val="lef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E7" w:rsidRDefault="00CA14E7" w:rsidP="00A81D3E">
            <w:pPr>
              <w:ind w:left="1" w:firstLine="0"/>
              <w:jc w:val="left"/>
            </w:pPr>
            <w:r>
              <w:t>9</w:t>
            </w:r>
          </w:p>
        </w:tc>
      </w:tr>
    </w:tbl>
    <w:p w:rsidR="00CA14E7" w:rsidRDefault="00CA14E7" w:rsidP="00CA14E7"/>
    <w:p w:rsidR="00265875" w:rsidRDefault="00265875" w:rsidP="00265875">
      <w:pPr>
        <w:jc w:val="left"/>
      </w:pPr>
    </w:p>
    <w:sectPr w:rsidR="00265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528C4"/>
    <w:multiLevelType w:val="hybridMultilevel"/>
    <w:tmpl w:val="95823AAA"/>
    <w:lvl w:ilvl="0" w:tplc="0512D608">
      <w:start w:val="2015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18"/>
    <w:rsid w:val="00265875"/>
    <w:rsid w:val="00616123"/>
    <w:rsid w:val="006C7A18"/>
    <w:rsid w:val="00757B0F"/>
    <w:rsid w:val="00B155AC"/>
    <w:rsid w:val="00CA14E7"/>
    <w:rsid w:val="00DD6639"/>
    <w:rsid w:val="00F1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B0F"/>
    <w:pPr>
      <w:spacing w:after="0" w:line="259" w:lineRule="auto"/>
      <w:ind w:left="12" w:hanging="10"/>
      <w:jc w:val="center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57B0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57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B0F"/>
    <w:pPr>
      <w:spacing w:after="0" w:line="259" w:lineRule="auto"/>
      <w:ind w:left="12" w:hanging="10"/>
      <w:jc w:val="center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57B0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5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Erasmus</dc:creator>
  <cp:keywords/>
  <dc:description/>
  <cp:lastModifiedBy>Admin</cp:lastModifiedBy>
  <cp:revision>7</cp:revision>
  <dcterms:created xsi:type="dcterms:W3CDTF">2024-11-13T06:49:00Z</dcterms:created>
  <dcterms:modified xsi:type="dcterms:W3CDTF">2024-11-13T20:05:00Z</dcterms:modified>
</cp:coreProperties>
</file>